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A8A3" w14:textId="43BCC0B0" w:rsidR="00770E7A" w:rsidRDefault="00E105B0">
      <w:pPr>
        <w:widowControl w:val="0"/>
        <w:spacing w:after="240" w:line="240" w:lineRule="auto"/>
        <w:rPr>
          <w:rFonts w:ascii="Cambria" w:eastAsia="Cambria" w:hAnsi="Cambria" w:cs="Cambria"/>
          <w:b/>
          <w:i/>
          <w:sz w:val="20"/>
          <w:szCs w:val="20"/>
        </w:rPr>
      </w:pPr>
      <w:r>
        <w:rPr>
          <w:noProof/>
        </w:rPr>
        <w:drawing>
          <wp:anchor distT="0" distB="0" distL="114300" distR="114300" simplePos="0" relativeHeight="251658240" behindDoc="0" locked="0" layoutInCell="1" hidden="0" allowOverlap="1" wp14:anchorId="335EA8B7" wp14:editId="7C8C79B3">
            <wp:simplePos x="0" y="0"/>
            <wp:positionH relativeFrom="column">
              <wp:posOffset>4541520</wp:posOffset>
            </wp:positionH>
            <wp:positionV relativeFrom="paragraph">
              <wp:posOffset>52070</wp:posOffset>
            </wp:positionV>
            <wp:extent cx="1633220" cy="1045210"/>
            <wp:effectExtent l="0" t="0" r="5080" b="254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633220" cy="1045210"/>
                    </a:xfrm>
                    <a:prstGeom prst="rect">
                      <a:avLst/>
                    </a:prstGeom>
                    <a:ln/>
                  </pic:spPr>
                </pic:pic>
              </a:graphicData>
            </a:graphic>
            <wp14:sizeRelV relativeFrom="margin">
              <wp14:pctHeight>0</wp14:pctHeight>
            </wp14:sizeRelV>
          </wp:anchor>
        </w:drawing>
      </w:r>
      <w:r w:rsidR="00000000">
        <w:rPr>
          <w:rFonts w:ascii="Times New Roman" w:eastAsia="Times New Roman" w:hAnsi="Times New Roman" w:cs="Times New Roman"/>
          <w:b/>
          <w:sz w:val="48"/>
          <w:szCs w:val="48"/>
        </w:rPr>
        <w:t>The Next Step in Wildfire Mitigation - Standards for Identifying and Removing Trees Adjacent to Power Lines</w:t>
      </w:r>
    </w:p>
    <w:p w14:paraId="335EA8A4" w14:textId="77777777" w:rsidR="00770E7A" w:rsidRDefault="00000000">
      <w:pPr>
        <w:widowControl w:val="0"/>
        <w:spacing w:after="240" w:line="240" w:lineRule="auto"/>
        <w:ind w:left="-90"/>
        <w:jc w:val="center"/>
        <w:rPr>
          <w:rFonts w:ascii="Times New Roman" w:eastAsia="Times New Roman" w:hAnsi="Times New Roman" w:cs="Times New Roman"/>
          <w:b/>
          <w:i/>
          <w:sz w:val="20"/>
          <w:szCs w:val="20"/>
        </w:rPr>
      </w:pPr>
      <w:r>
        <w:rPr>
          <w:rFonts w:ascii="Times New Roman" w:eastAsia="Times New Roman" w:hAnsi="Times New Roman" w:cs="Times New Roman"/>
          <w:b/>
          <w:i/>
          <w:sz w:val="24"/>
          <w:szCs w:val="24"/>
        </w:rPr>
        <w:t>The Tree Care Industry urges Congress to establish a minimum federal standard of care for hazard tree pre-inspections and to clarify the roles of utilities and contractors to reduce wildfire ignition risk, improve insurance access, and ensure the capacity to perform this work nationwide.</w:t>
      </w:r>
    </w:p>
    <w:p w14:paraId="335EA8A5" w14:textId="77777777" w:rsidR="00770E7A" w:rsidRDefault="00000000">
      <w:pPr>
        <w:spacing w:line="240" w:lineRule="auto"/>
        <w:ind w:left="-1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Tree Care Industry Association (TCIA) represents approximately 1,400 businesses nationwide that engage in commercial tree care, providing services to residential communities, state and local governments, commercial businesses, and utilities. Our members play a vital role in wildfire prevention by identifying and mitigating hazardous vegetation near utility infrastructure, maintaining rights-of-way, and creating defensible space to reduce ignition risk. </w:t>
      </w:r>
    </w:p>
    <w:p w14:paraId="335EA8A6" w14:textId="77777777" w:rsidR="00770E7A" w:rsidRDefault="00770E7A">
      <w:pPr>
        <w:spacing w:line="240" w:lineRule="auto"/>
        <w:ind w:left="-180"/>
        <w:jc w:val="both"/>
        <w:rPr>
          <w:rFonts w:ascii="Times New Roman" w:eastAsia="Times New Roman" w:hAnsi="Times New Roman" w:cs="Times New Roman"/>
          <w:sz w:val="21"/>
          <w:szCs w:val="21"/>
        </w:rPr>
      </w:pPr>
    </w:p>
    <w:p w14:paraId="335EA8A7" w14:textId="77777777" w:rsidR="00770E7A" w:rsidRDefault="00000000">
      <w:pPr>
        <w:spacing w:line="240" w:lineRule="auto"/>
        <w:ind w:left="-1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Utility vegetation management (UVM) contractors perform </w:t>
      </w:r>
      <w:proofErr w:type="gramStart"/>
      <w:r>
        <w:rPr>
          <w:rFonts w:ascii="Times New Roman" w:eastAsia="Times New Roman" w:hAnsi="Times New Roman" w:cs="Times New Roman"/>
          <w:sz w:val="23"/>
          <w:szCs w:val="23"/>
        </w:rPr>
        <w:t>the majority of</w:t>
      </w:r>
      <w:proofErr w:type="gramEnd"/>
      <w:r>
        <w:rPr>
          <w:rFonts w:ascii="Times New Roman" w:eastAsia="Times New Roman" w:hAnsi="Times New Roman" w:cs="Times New Roman"/>
          <w:sz w:val="23"/>
          <w:szCs w:val="23"/>
        </w:rPr>
        <w:t xml:space="preserve"> pre-inspection and hazard tree removal work for electric utilities, making them essential to wildfire mitigation. This work is essential in communities nationwide and especially critical on federal lands, which encompass approximately 640 million acres and contain roughly 90,000 miles of electrical transmission and distribution rights-of-way. Properly managing vegetation in these areas is essential to reducing utility-related wildfire ignitions and improving electric grid reliability.</w:t>
      </w:r>
    </w:p>
    <w:p w14:paraId="335EA8A8" w14:textId="77777777" w:rsidR="00770E7A" w:rsidRDefault="00770E7A">
      <w:pPr>
        <w:spacing w:line="240" w:lineRule="auto"/>
        <w:ind w:left="-180" w:right="-90"/>
        <w:jc w:val="both"/>
        <w:rPr>
          <w:rFonts w:ascii="Times New Roman" w:eastAsia="Times New Roman" w:hAnsi="Times New Roman" w:cs="Times New Roman"/>
          <w:sz w:val="21"/>
          <w:szCs w:val="21"/>
        </w:rPr>
      </w:pPr>
    </w:p>
    <w:p w14:paraId="335EA8A9" w14:textId="77777777" w:rsidR="00770E7A" w:rsidRDefault="00000000">
      <w:pPr>
        <w:spacing w:line="240" w:lineRule="auto"/>
        <w:ind w:left="-180" w:right="-9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The Issue: Legal Uncertainty and Insurance Barriers Are Undermining Wildfire Mitigation Work</w:t>
      </w:r>
    </w:p>
    <w:p w14:paraId="335EA8AA" w14:textId="77777777" w:rsidR="00770E7A" w:rsidRDefault="00000000">
      <w:pPr>
        <w:spacing w:line="240" w:lineRule="auto"/>
        <w:ind w:left="-180" w:right="-9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As </w:t>
      </w:r>
      <w:proofErr w:type="gramStart"/>
      <w:r>
        <w:rPr>
          <w:rFonts w:ascii="Times New Roman" w:eastAsia="Times New Roman" w:hAnsi="Times New Roman" w:cs="Times New Roman"/>
          <w:sz w:val="23"/>
          <w:szCs w:val="23"/>
        </w:rPr>
        <w:t>wildfires grow</w:t>
      </w:r>
      <w:proofErr w:type="gramEnd"/>
      <w:r>
        <w:rPr>
          <w:rFonts w:ascii="Times New Roman" w:eastAsia="Times New Roman" w:hAnsi="Times New Roman" w:cs="Times New Roman"/>
          <w:sz w:val="23"/>
          <w:szCs w:val="23"/>
        </w:rPr>
        <w:t xml:space="preserve"> in frequency, intensity, and cost, the need for proactive vegetation management is more urgent than </w:t>
      </w:r>
      <w:proofErr w:type="gramStart"/>
      <w:r>
        <w:rPr>
          <w:rFonts w:ascii="Times New Roman" w:eastAsia="Times New Roman" w:hAnsi="Times New Roman" w:cs="Times New Roman"/>
          <w:sz w:val="23"/>
          <w:szCs w:val="23"/>
        </w:rPr>
        <w:t>ever—</w:t>
      </w:r>
      <w:proofErr w:type="gramEnd"/>
      <w:r>
        <w:rPr>
          <w:rFonts w:ascii="Times New Roman" w:eastAsia="Times New Roman" w:hAnsi="Times New Roman" w:cs="Times New Roman"/>
          <w:sz w:val="23"/>
          <w:szCs w:val="23"/>
        </w:rPr>
        <w:t>especially in utility corridors. Tree care companies that are well-established experts in UVM face growing obstacles to performing wildfire mitigation work because there is no widely accepted standard of care. This legal uncertainty creates unwarranted potential liability for wildfire mitigation work. As a result, insurance is both difficult to find and incredibly costly. Insurance carriers have raised premiums dramatically, sometimes charging between $200,000 to $500,000 per $1 million of excess liability coverage, or have exited the market altogether.</w:t>
      </w:r>
      <w:r>
        <w:rPr>
          <w:rFonts w:ascii="Times New Roman" w:eastAsia="Times New Roman" w:hAnsi="Times New Roman" w:cs="Times New Roman"/>
          <w:sz w:val="23"/>
          <w:szCs w:val="23"/>
          <w:vertAlign w:val="superscript"/>
        </w:rPr>
        <w:footnoteReference w:id="1"/>
      </w:r>
      <w:r>
        <w:rPr>
          <w:rFonts w:ascii="Times New Roman" w:eastAsia="Times New Roman" w:hAnsi="Times New Roman" w:cs="Times New Roman"/>
          <w:sz w:val="23"/>
          <w:szCs w:val="23"/>
        </w:rPr>
        <w:t xml:space="preserve"> In many cases, UVM contractors can only secure policies with wildfire exclusions or unfavorable terms like defense-inside-the-limits provisions that shift litigation costs to the insured. These conditions threaten the viability of UVM contracting at scale, particularly in high-risk fire-prone states–and especially on the 117 million acres of federal land classified as high or very high wildfire risk.</w:t>
      </w:r>
      <w:r>
        <w:rPr>
          <w:rFonts w:ascii="Times New Roman" w:eastAsia="Times New Roman" w:hAnsi="Times New Roman" w:cs="Times New Roman"/>
          <w:sz w:val="23"/>
          <w:szCs w:val="23"/>
          <w:vertAlign w:val="superscript"/>
        </w:rPr>
        <w:footnoteReference w:id="2"/>
      </w:r>
      <w:r>
        <w:rPr>
          <w:rFonts w:ascii="Times New Roman" w:eastAsia="Times New Roman" w:hAnsi="Times New Roman" w:cs="Times New Roman"/>
          <w:sz w:val="23"/>
          <w:szCs w:val="23"/>
        </w:rPr>
        <w:t xml:space="preserve"> </w:t>
      </w:r>
    </w:p>
    <w:p w14:paraId="335EA8AB" w14:textId="77777777" w:rsidR="00770E7A" w:rsidRDefault="00770E7A">
      <w:pPr>
        <w:spacing w:line="240" w:lineRule="auto"/>
        <w:ind w:left="-180" w:right="-90"/>
        <w:jc w:val="both"/>
        <w:rPr>
          <w:rFonts w:ascii="Times New Roman" w:eastAsia="Times New Roman" w:hAnsi="Times New Roman" w:cs="Times New Roman"/>
          <w:sz w:val="21"/>
          <w:szCs w:val="21"/>
        </w:rPr>
      </w:pPr>
    </w:p>
    <w:p w14:paraId="335EA8AC" w14:textId="77777777" w:rsidR="00770E7A" w:rsidRDefault="00000000">
      <w:pPr>
        <w:spacing w:line="240" w:lineRule="auto"/>
        <w:ind w:left="-180" w:right="-9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 2021 Aon study found that some contractors have declined work altogether due to a lack of affordable insurance.</w:t>
      </w:r>
      <w:r>
        <w:rPr>
          <w:rFonts w:ascii="Times New Roman" w:eastAsia="Times New Roman" w:hAnsi="Times New Roman" w:cs="Times New Roman"/>
          <w:sz w:val="23"/>
          <w:szCs w:val="23"/>
          <w:vertAlign w:val="superscript"/>
        </w:rPr>
        <w:footnoteReference w:id="3"/>
      </w:r>
      <w:r>
        <w:rPr>
          <w:rFonts w:ascii="Times New Roman" w:eastAsia="Times New Roman" w:hAnsi="Times New Roman" w:cs="Times New Roman"/>
          <w:sz w:val="23"/>
          <w:szCs w:val="23"/>
        </w:rPr>
        <w:t xml:space="preserve"> Utilities have also attempted to pull contractors into wildfire lawsuits—even when not responsible for ignition—simply due to their presence on-site. The resulting litigation threat and high </w:t>
      </w:r>
      <w:proofErr w:type="gramStart"/>
      <w:r>
        <w:rPr>
          <w:rFonts w:ascii="Times New Roman" w:eastAsia="Times New Roman" w:hAnsi="Times New Roman" w:cs="Times New Roman"/>
          <w:sz w:val="23"/>
          <w:szCs w:val="23"/>
        </w:rPr>
        <w:lastRenderedPageBreak/>
        <w:t>defense</w:t>
      </w:r>
      <w:proofErr w:type="gramEnd"/>
      <w:r>
        <w:rPr>
          <w:rFonts w:ascii="Times New Roman" w:eastAsia="Times New Roman" w:hAnsi="Times New Roman" w:cs="Times New Roman"/>
          <w:sz w:val="23"/>
          <w:szCs w:val="23"/>
        </w:rPr>
        <w:t xml:space="preserve"> costs are deterring qualified contractor participation at the very time their work is most critical. Without greater regulatory clarity and a defined standard of care, this chilling effect will continue.</w:t>
      </w:r>
    </w:p>
    <w:p w14:paraId="335EA8AD" w14:textId="77777777" w:rsidR="00770E7A" w:rsidRDefault="00770E7A">
      <w:pPr>
        <w:spacing w:line="240" w:lineRule="auto"/>
        <w:ind w:left="-180" w:right="-90"/>
        <w:jc w:val="both"/>
        <w:rPr>
          <w:rFonts w:ascii="Times New Roman" w:eastAsia="Times New Roman" w:hAnsi="Times New Roman" w:cs="Times New Roman"/>
          <w:sz w:val="23"/>
          <w:szCs w:val="23"/>
        </w:rPr>
      </w:pPr>
    </w:p>
    <w:p w14:paraId="335EA8AE" w14:textId="77777777" w:rsidR="00770E7A" w:rsidRDefault="00000000">
      <w:pPr>
        <w:spacing w:line="240" w:lineRule="auto"/>
        <w:ind w:left="-180" w:right="-90"/>
        <w:jc w:val="both"/>
        <w:rPr>
          <w:rFonts w:ascii="Times New Roman" w:eastAsia="Times New Roman" w:hAnsi="Times New Roman" w:cs="Times New Roman"/>
          <w:b/>
          <w:sz w:val="23"/>
          <w:szCs w:val="23"/>
          <w:highlight w:val="white"/>
        </w:rPr>
      </w:pPr>
      <w:r>
        <w:rPr>
          <w:rFonts w:ascii="Times New Roman" w:eastAsia="Times New Roman" w:hAnsi="Times New Roman" w:cs="Times New Roman"/>
          <w:b/>
          <w:sz w:val="23"/>
          <w:szCs w:val="23"/>
          <w:highlight w:val="white"/>
        </w:rPr>
        <w:t>TCIA’s Solution: Standard of Care Guidelines</w:t>
      </w:r>
    </w:p>
    <w:p w14:paraId="335EA8AF" w14:textId="77777777" w:rsidR="00770E7A" w:rsidRDefault="00000000">
      <w:pPr>
        <w:spacing w:line="240" w:lineRule="auto"/>
        <w:ind w:left="-180" w:right="-90"/>
        <w:jc w:val="both"/>
        <w:rPr>
          <w:rFonts w:ascii="Times New Roman" w:eastAsia="Times New Roman" w:hAnsi="Times New Roman" w:cs="Times New Roman"/>
          <w:sz w:val="23"/>
          <w:szCs w:val="23"/>
        </w:rPr>
      </w:pPr>
      <w:r>
        <w:rPr>
          <w:rFonts w:ascii="Times New Roman" w:eastAsia="Times New Roman" w:hAnsi="Times New Roman" w:cs="Times New Roman"/>
          <w:sz w:val="23"/>
          <w:szCs w:val="23"/>
          <w:highlight w:val="white"/>
        </w:rPr>
        <w:t xml:space="preserve">As the threat of wildfires continues to escalate–particularly those caused by electric infrastructure–there is an urgent need for consistent vegetation management practices that reduce ignition risk and protect communities. To meet this need, TCIA recommends two complementary steps be taken: 1) the establishment of a minimum federal standard of care for the pre-inspection of hazard trees, and 2) the clarification of the respective roles and responsibilities of utilities and vegetation management contractors. These actions are also consistent with </w:t>
      </w:r>
      <w:r>
        <w:rPr>
          <w:rFonts w:ascii="Times New Roman" w:eastAsia="Times New Roman" w:hAnsi="Times New Roman" w:cs="Times New Roman"/>
          <w:sz w:val="23"/>
          <w:szCs w:val="23"/>
        </w:rPr>
        <w:t xml:space="preserve">Executive Order (EO) 14308, </w:t>
      </w:r>
      <w:r>
        <w:rPr>
          <w:rFonts w:ascii="Times New Roman" w:eastAsia="Times New Roman" w:hAnsi="Times New Roman" w:cs="Times New Roman"/>
          <w:i/>
          <w:sz w:val="23"/>
          <w:szCs w:val="23"/>
        </w:rPr>
        <w:t>Empowering Commonsense Wildfire Prevention and Response</w:t>
      </w:r>
      <w:r>
        <w:rPr>
          <w:rFonts w:ascii="Times New Roman" w:eastAsia="Times New Roman" w:hAnsi="Times New Roman" w:cs="Times New Roman"/>
          <w:sz w:val="23"/>
          <w:szCs w:val="23"/>
        </w:rPr>
        <w:t xml:space="preserve">, which directs federal agencies to establish “best practices to reduce the risk of wildfire ignition [...] through methods such as vegetation management." </w:t>
      </w:r>
    </w:p>
    <w:p w14:paraId="335EA8B0" w14:textId="77777777" w:rsidR="00770E7A" w:rsidRDefault="00770E7A">
      <w:pPr>
        <w:spacing w:line="240" w:lineRule="auto"/>
        <w:ind w:left="-180" w:right="-90"/>
        <w:jc w:val="both"/>
        <w:rPr>
          <w:rFonts w:ascii="Times New Roman" w:eastAsia="Times New Roman" w:hAnsi="Times New Roman" w:cs="Times New Roman"/>
          <w:sz w:val="21"/>
          <w:szCs w:val="21"/>
        </w:rPr>
      </w:pPr>
    </w:p>
    <w:p w14:paraId="335EA8B1" w14:textId="77777777" w:rsidR="00770E7A" w:rsidRDefault="00000000">
      <w:pPr>
        <w:spacing w:line="240" w:lineRule="auto"/>
        <w:ind w:left="-180" w:right="-9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TCIA specifically recommends that this minimum federal standard of care be based on the Level 1 Limited Visual Assessment defined in the American National Standards Institute (ANSI) A300 standard for tree care operations.</w:t>
      </w:r>
      <w:r>
        <w:rPr>
          <w:rFonts w:ascii="Times New Roman" w:eastAsia="Times New Roman" w:hAnsi="Times New Roman" w:cs="Times New Roman"/>
          <w:sz w:val="23"/>
          <w:szCs w:val="23"/>
          <w:vertAlign w:val="superscript"/>
        </w:rPr>
        <w:footnoteReference w:id="4"/>
      </w:r>
      <w:r>
        <w:rPr>
          <w:rFonts w:ascii="Times New Roman" w:eastAsia="Times New Roman" w:hAnsi="Times New Roman" w:cs="Times New Roman"/>
          <w:sz w:val="23"/>
          <w:szCs w:val="23"/>
        </w:rPr>
        <w:t xml:space="preserve"> The ANSI A300 standard establishes consensus-based standards to guide work practices for the care of trees, palms, shrubs, and other woody landscape plants, including performance-based guidance for conducting tree risk assessments. Developed by the ANSI-accredited A300 Committee, the standard is the result of a public, multi-stakeholder process involving representatives from utilities, industry, academia, and government. Adopting this approach would improve consistency across jurisdictions, reinforce risk-informed decision-making, and provide insurers with a clear framework for evaluating contractor practices.</w:t>
      </w:r>
    </w:p>
    <w:p w14:paraId="335EA8B2" w14:textId="77777777" w:rsidR="00770E7A" w:rsidRDefault="00770E7A">
      <w:pPr>
        <w:spacing w:line="240" w:lineRule="auto"/>
        <w:ind w:left="-180" w:right="-90"/>
        <w:jc w:val="both"/>
        <w:rPr>
          <w:rFonts w:ascii="Times New Roman" w:eastAsia="Times New Roman" w:hAnsi="Times New Roman" w:cs="Times New Roman"/>
          <w:sz w:val="21"/>
          <w:szCs w:val="21"/>
        </w:rPr>
      </w:pPr>
    </w:p>
    <w:p w14:paraId="335EA8B3" w14:textId="77777777" w:rsidR="00770E7A" w:rsidRDefault="00000000">
      <w:pPr>
        <w:spacing w:line="240" w:lineRule="auto"/>
        <w:ind w:left="-180" w:right="-9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TCIA further recommends clarifying that vegetation management contractors are not considered “owners or operators” under Section 512 of the Federal Land Policy and Management Act (FLPMA), unless explicitly designated as such by contract.</w:t>
      </w:r>
      <w:r>
        <w:rPr>
          <w:rFonts w:ascii="Times New Roman" w:eastAsia="Times New Roman" w:hAnsi="Times New Roman" w:cs="Times New Roman"/>
          <w:sz w:val="23"/>
          <w:szCs w:val="23"/>
          <w:vertAlign w:val="superscript"/>
        </w:rPr>
        <w:footnoteReference w:id="5"/>
      </w:r>
      <w:r>
        <w:rPr>
          <w:rFonts w:ascii="Times New Roman" w:eastAsia="Times New Roman" w:hAnsi="Times New Roman" w:cs="Times New Roman"/>
          <w:sz w:val="23"/>
          <w:szCs w:val="23"/>
        </w:rPr>
        <w:t xml:space="preserve"> While the statutory language may have been intended to ensure that contractors comply with agency-approved vegetation management plans, its breadth has introduced significant legal ambiguity—raising the risk that contractors could be held liable as if they were the utility itself. In practice, vegetation management contractors generally do not design operating plans or make discretionary decisions about scope, timing, or risk prioritization. These responsibilities typically fall to the utilities, which hold the right-of-way (ROW) authorization and direct the vegetation management program. </w:t>
      </w:r>
      <w:proofErr w:type="gramStart"/>
      <w:r>
        <w:rPr>
          <w:rFonts w:ascii="Times New Roman" w:eastAsia="Times New Roman" w:hAnsi="Times New Roman" w:cs="Times New Roman"/>
          <w:sz w:val="23"/>
          <w:szCs w:val="23"/>
        </w:rPr>
        <w:t>Without clear regulatory clarification, however</w:t>
      </w:r>
      <w:proofErr w:type="gramEnd"/>
      <w:r>
        <w:rPr>
          <w:rFonts w:ascii="Times New Roman" w:eastAsia="Times New Roman" w:hAnsi="Times New Roman" w:cs="Times New Roman"/>
          <w:sz w:val="23"/>
          <w:szCs w:val="23"/>
        </w:rPr>
        <w:t xml:space="preserve">, contractors may be unfairly held liable for outcomes they do not control, particularly when </w:t>
      </w:r>
      <w:proofErr w:type="gramStart"/>
      <w:r>
        <w:rPr>
          <w:rFonts w:ascii="Times New Roman" w:eastAsia="Times New Roman" w:hAnsi="Times New Roman" w:cs="Times New Roman"/>
          <w:sz w:val="23"/>
          <w:szCs w:val="23"/>
        </w:rPr>
        <w:t>tree</w:t>
      </w:r>
      <w:proofErr w:type="gramEnd"/>
      <w:r>
        <w:rPr>
          <w:rFonts w:ascii="Times New Roman" w:eastAsia="Times New Roman" w:hAnsi="Times New Roman" w:cs="Times New Roman"/>
          <w:sz w:val="23"/>
          <w:szCs w:val="23"/>
        </w:rPr>
        <w:t xml:space="preserve"> conditions change after inspection or when resource limitations require the utility to defer certain mitigations. Clarifying this distinction would reduce legal uncertainty, improve access to insurance, and help ensure the capacity to perform this work </w:t>
      </w:r>
      <w:proofErr w:type="gramStart"/>
      <w:r>
        <w:rPr>
          <w:rFonts w:ascii="Times New Roman" w:eastAsia="Times New Roman" w:hAnsi="Times New Roman" w:cs="Times New Roman"/>
          <w:sz w:val="23"/>
          <w:szCs w:val="23"/>
        </w:rPr>
        <w:t>nationwide—supporting</w:t>
      </w:r>
      <w:proofErr w:type="gramEnd"/>
      <w:r>
        <w:rPr>
          <w:rFonts w:ascii="Times New Roman" w:eastAsia="Times New Roman" w:hAnsi="Times New Roman" w:cs="Times New Roman"/>
          <w:sz w:val="23"/>
          <w:szCs w:val="23"/>
        </w:rPr>
        <w:t xml:space="preserve"> the broader wildfire mitigation goals of Congress and the Executive Branch.</w:t>
      </w:r>
    </w:p>
    <w:p w14:paraId="335EA8B4" w14:textId="77777777" w:rsidR="00770E7A" w:rsidRDefault="00770E7A">
      <w:pPr>
        <w:spacing w:line="240" w:lineRule="auto"/>
        <w:ind w:left="-180" w:right="-90"/>
        <w:jc w:val="both"/>
        <w:rPr>
          <w:rFonts w:ascii="Times New Roman" w:eastAsia="Times New Roman" w:hAnsi="Times New Roman" w:cs="Times New Roman"/>
          <w:sz w:val="21"/>
          <w:szCs w:val="21"/>
        </w:rPr>
      </w:pPr>
    </w:p>
    <w:p w14:paraId="335EA8B5" w14:textId="77777777" w:rsidR="00770E7A" w:rsidRDefault="00000000">
      <w:pPr>
        <w:spacing w:line="240" w:lineRule="auto"/>
        <w:ind w:left="-180" w:right="-9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Congress Can Help Mitigate and Manage Wildfire Risk</w:t>
      </w:r>
    </w:p>
    <w:p w14:paraId="335EA8B6" w14:textId="77777777" w:rsidR="00770E7A" w:rsidRDefault="00000000">
      <w:pPr>
        <w:spacing w:line="240" w:lineRule="auto"/>
        <w:ind w:left="-180" w:right="-90"/>
        <w:jc w:val="both"/>
      </w:pPr>
      <w:r>
        <w:rPr>
          <w:rFonts w:ascii="Times New Roman" w:eastAsia="Times New Roman" w:hAnsi="Times New Roman" w:cs="Times New Roman"/>
          <w:sz w:val="23"/>
          <w:szCs w:val="23"/>
        </w:rPr>
        <w:t xml:space="preserve">TCIA supports the goals of the Fix Our Forests Act (S. 1462) and urges Congress to strengthen the bill by including: (1) a provision establishing a minimum federal standard of care for hazard tree pre-inspections, based on ANSI A300, and (2) language clarifying that vegetation management contractors are not “owners or operators” under Section 512 of FLPMA, unless expressly designated as such by contract. These reforms would build on Congress’s prior recognition of ANSI A300 as the generally accepted framework for tree care practices, as reflected in the legislative history of Section 512. They </w:t>
      </w:r>
      <w:r>
        <w:rPr>
          <w:rFonts w:ascii="Times New Roman" w:eastAsia="Times New Roman" w:hAnsi="Times New Roman" w:cs="Times New Roman"/>
          <w:sz w:val="23"/>
          <w:szCs w:val="23"/>
        </w:rPr>
        <w:lastRenderedPageBreak/>
        <w:t>would also reinforce the intent of FOFA to reduce wildfire risk, streamline implementation, and ensure a qualified, insured workforce is available to perform this critical work at scale.</w:t>
      </w:r>
    </w:p>
    <w:sectPr w:rsidR="00770E7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5D25" w14:textId="77777777" w:rsidR="00EE2563" w:rsidRDefault="00EE2563">
      <w:pPr>
        <w:spacing w:line="240" w:lineRule="auto"/>
      </w:pPr>
      <w:r>
        <w:separator/>
      </w:r>
    </w:p>
  </w:endnote>
  <w:endnote w:type="continuationSeparator" w:id="0">
    <w:p w14:paraId="75580323" w14:textId="77777777" w:rsidR="00EE2563" w:rsidRDefault="00EE2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A8BA" w14:textId="77777777" w:rsidR="00770E7A" w:rsidRDefault="00000000">
    <w:pPr>
      <w:spacing w:line="240" w:lineRule="auto"/>
      <w:jc w:val="center"/>
      <w:rPr>
        <w:rFonts w:ascii="Times New Roman" w:eastAsia="Times New Roman" w:hAnsi="Times New Roman" w:cs="Times New Roman"/>
        <w:sz w:val="24"/>
        <w:szCs w:val="24"/>
      </w:rPr>
    </w:pPr>
    <w:r>
      <w:rPr>
        <w:rFonts w:ascii="Cambria" w:eastAsia="Cambria" w:hAnsi="Cambria" w:cs="Cambria"/>
      </w:rPr>
      <w:t>For more information on this issue,</w:t>
    </w:r>
  </w:p>
  <w:p w14:paraId="335EA8BB" w14:textId="77777777" w:rsidR="00770E7A" w:rsidRDefault="00000000">
    <w:pPr>
      <w:spacing w:line="240" w:lineRule="auto"/>
      <w:jc w:val="center"/>
      <w:rPr>
        <w:rFonts w:ascii="Times New Roman" w:eastAsia="Times New Roman" w:hAnsi="Times New Roman" w:cs="Times New Roman"/>
        <w:sz w:val="24"/>
        <w:szCs w:val="24"/>
      </w:rPr>
    </w:pPr>
    <w:r>
      <w:rPr>
        <w:rFonts w:ascii="Cambria" w:eastAsia="Cambria" w:hAnsi="Cambria" w:cs="Cambria"/>
      </w:rPr>
      <w:t>please contact Basil Thomson at Basil@UlmanPolicy.com</w:t>
    </w:r>
  </w:p>
  <w:p w14:paraId="335EA8BC" w14:textId="77777777" w:rsidR="00770E7A" w:rsidRDefault="00770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5F66" w14:textId="77777777" w:rsidR="00EE2563" w:rsidRDefault="00EE2563">
      <w:pPr>
        <w:spacing w:line="240" w:lineRule="auto"/>
      </w:pPr>
      <w:r>
        <w:separator/>
      </w:r>
    </w:p>
  </w:footnote>
  <w:footnote w:type="continuationSeparator" w:id="0">
    <w:p w14:paraId="42B42EEF" w14:textId="77777777" w:rsidR="00EE2563" w:rsidRDefault="00EE2563">
      <w:pPr>
        <w:spacing w:line="240" w:lineRule="auto"/>
      </w:pPr>
      <w:r>
        <w:continuationSeparator/>
      </w:r>
    </w:p>
  </w:footnote>
  <w:footnote w:id="1">
    <w:p w14:paraId="335EA8BD" w14:textId="77777777" w:rsidR="00770E7A" w:rsidRDefault="00000000">
      <w:pPr>
        <w:spacing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Hunter, Lori &amp; Moore, Lindsay, “Combatting California Fires Might Mean Wild Insurance Ideas,” 2022, </w:t>
      </w:r>
      <w:proofErr w:type="spellStart"/>
      <w:r>
        <w:rPr>
          <w:rFonts w:ascii="Times New Roman" w:eastAsia="Times New Roman" w:hAnsi="Times New Roman" w:cs="Times New Roman"/>
          <w:sz w:val="18"/>
          <w:szCs w:val="18"/>
        </w:rPr>
        <w:t>Amwins</w:t>
      </w:r>
      <w:proofErr w:type="spellEnd"/>
      <w:r>
        <w:rPr>
          <w:rFonts w:ascii="Times New Roman" w:eastAsia="Times New Roman" w:hAnsi="Times New Roman" w:cs="Times New Roman"/>
          <w:sz w:val="18"/>
          <w:szCs w:val="18"/>
        </w:rPr>
        <w:t>.</w:t>
      </w:r>
    </w:p>
  </w:footnote>
  <w:footnote w:id="2">
    <w:p w14:paraId="335EA8BE" w14:textId="77777777" w:rsidR="00770E7A" w:rsidRDefault="00000000">
      <w:pPr>
        <w:spacing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Hoover, Katie, “Federal Wildfire Management: Ten-Year Funding Trends and Issues (FY2011-FY2020),” 2020, CRS, R46583. </w:t>
      </w:r>
    </w:p>
  </w:footnote>
  <w:footnote w:id="3">
    <w:p w14:paraId="335EA8BF" w14:textId="77777777" w:rsidR="00770E7A" w:rsidRDefault="00000000">
      <w:pPr>
        <w:spacing w:line="240" w:lineRule="auto"/>
        <w:rPr>
          <w:sz w:val="20"/>
          <w:szCs w:val="20"/>
        </w:rPr>
      </w:pPr>
      <w:r>
        <w:rPr>
          <w:vertAlign w:val="superscript"/>
        </w:rPr>
        <w:footnoteRef/>
      </w:r>
      <w:r>
        <w:rPr>
          <w:sz w:val="20"/>
          <w:szCs w:val="20"/>
        </w:rPr>
        <w:t xml:space="preserve"> </w:t>
      </w:r>
      <w:hyperlink r:id="rId1">
        <w:r>
          <w:rPr>
            <w:rFonts w:ascii="Times New Roman" w:eastAsia="Times New Roman" w:hAnsi="Times New Roman" w:cs="Times New Roman"/>
            <w:color w:val="467886"/>
            <w:sz w:val="18"/>
            <w:szCs w:val="18"/>
            <w:u w:val="single"/>
          </w:rPr>
          <w:t>https://insights-north-america.aon.com/risk-management/aon-managing-wildfire-risk-for-contractors-whitepaper</w:t>
        </w:r>
      </w:hyperlink>
      <w:r>
        <w:rPr>
          <w:rFonts w:ascii="Times New Roman" w:eastAsia="Times New Roman" w:hAnsi="Times New Roman" w:cs="Times New Roman"/>
          <w:sz w:val="18"/>
          <w:szCs w:val="18"/>
        </w:rPr>
        <w:t>.</w:t>
      </w:r>
    </w:p>
  </w:footnote>
  <w:footnote w:id="4">
    <w:p w14:paraId="335EA8C0" w14:textId="77777777" w:rsidR="00770E7A" w:rsidRDefault="00000000">
      <w:pPr>
        <w:spacing w:line="240" w:lineRule="auto"/>
        <w:rPr>
          <w:sz w:val="18"/>
          <w:szCs w:val="18"/>
        </w:rPr>
      </w:pPr>
      <w:r>
        <w:rPr>
          <w:vertAlign w:val="superscript"/>
        </w:rPr>
        <w:footnoteRef/>
      </w:r>
      <w:r>
        <w:rPr>
          <w:sz w:val="18"/>
          <w:szCs w:val="18"/>
        </w:rPr>
        <w:t xml:space="preserve"> </w:t>
      </w:r>
      <w:r>
        <w:rPr>
          <w:rFonts w:ascii="Times New Roman" w:eastAsia="Times New Roman" w:hAnsi="Times New Roman" w:cs="Times New Roman"/>
          <w:i/>
          <w:sz w:val="18"/>
          <w:szCs w:val="18"/>
        </w:rPr>
        <w:t>ANSI A300 Tree Care Standards for Trees, Shrubs, Palms, &amp; Other Woody Landscape Plants</w:t>
      </w:r>
      <w:r>
        <w:rPr>
          <w:rFonts w:ascii="Times New Roman" w:eastAsia="Times New Roman" w:hAnsi="Times New Roman" w:cs="Times New Roman"/>
          <w:sz w:val="18"/>
          <w:szCs w:val="18"/>
        </w:rPr>
        <w:t>,</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Clause 13: Tree Risk Assessment.</w:t>
      </w:r>
    </w:p>
  </w:footnote>
  <w:footnote w:id="5">
    <w:p w14:paraId="335EA8C1" w14:textId="77777777" w:rsidR="00770E7A" w:rsidRDefault="00000000">
      <w:pPr>
        <w:spacing w:line="240" w:lineRule="auto"/>
        <w:rPr>
          <w:rFonts w:ascii="Times New Roman" w:eastAsia="Times New Roman" w:hAnsi="Times New Roman" w:cs="Times New Roman"/>
          <w:sz w:val="18"/>
          <w:szCs w:val="18"/>
        </w:rPr>
      </w:pPr>
      <w:r>
        <w:rPr>
          <w:vertAlign w:val="superscript"/>
        </w:rPr>
        <w:footnoteRef/>
      </w:r>
      <w:r>
        <w:rPr>
          <w:sz w:val="18"/>
          <w:szCs w:val="18"/>
        </w:rPr>
        <w:t xml:space="preserve"> </w:t>
      </w:r>
      <w:r>
        <w:rPr>
          <w:rFonts w:ascii="Times New Roman" w:eastAsia="Times New Roman" w:hAnsi="Times New Roman" w:cs="Times New Roman"/>
          <w:sz w:val="18"/>
          <w:szCs w:val="18"/>
        </w:rPr>
        <w:t>43 U.S.C. § 1772, added by the Consolidated Appropriations Act, 2018, Pub. L. No. 115–141, 132 Stat. 1068.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A8B9" w14:textId="77777777" w:rsidR="00770E7A" w:rsidRDefault="00770E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7A"/>
    <w:rsid w:val="00770E7A"/>
    <w:rsid w:val="00E105B0"/>
    <w:rsid w:val="00E60400"/>
    <w:rsid w:val="00EE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A8A3"/>
  <w15:docId w15:val="{D28B1446-D110-4892-806F-6F4BC21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nsights-north-america.aon.com/risk-management/aon-managing-wildfire-risk-for-contractors-white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Misc</b:SourceType>
    <b:Publisher>Tree Care Industry Association</b:Publisher>
    <b:Title>ANSI A300-2023 Tree Care Standards for Trees, Shrubs, Palms, and Other Woody Landscape Plants. Clause 13: Tree Risk Assessment.</b:Title>
    <b:Year>2023</b:Year>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Tracey Miller</cp:lastModifiedBy>
  <cp:revision>2</cp:revision>
  <dcterms:created xsi:type="dcterms:W3CDTF">2025-09-08T09:20:00Z</dcterms:created>
  <dcterms:modified xsi:type="dcterms:W3CDTF">2025-09-08T09:21:00Z</dcterms:modified>
</cp:coreProperties>
</file>